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F7AFE" w14:textId="0F4CC68A" w:rsidR="00767D71" w:rsidRDefault="00767D71" w:rsidP="00767D71">
      <w:pPr>
        <w:pStyle w:val="BodyText"/>
        <w:ind w:left="442"/>
        <w:rPr>
          <w:b/>
          <w:color w:val="0D0D0D"/>
        </w:rPr>
      </w:pPr>
      <w:r w:rsidRPr="00E67317">
        <w:rPr>
          <w:noProof/>
        </w:rPr>
        <w:drawing>
          <wp:anchor distT="0" distB="0" distL="114300" distR="114300" simplePos="0" relativeHeight="251659264" behindDoc="1" locked="0" layoutInCell="1" allowOverlap="1" wp14:anchorId="798646B7" wp14:editId="72FA8564">
            <wp:simplePos x="0" y="0"/>
            <wp:positionH relativeFrom="margin">
              <wp:posOffset>-107453</wp:posOffset>
            </wp:positionH>
            <wp:positionV relativeFrom="page">
              <wp:posOffset>477520</wp:posOffset>
            </wp:positionV>
            <wp:extent cx="5878195" cy="1685925"/>
            <wp:effectExtent l="0" t="0" r="8255" b="9525"/>
            <wp:wrapTight wrapText="bothSides">
              <wp:wrapPolygon edited="0">
                <wp:start x="0" y="0"/>
                <wp:lineTo x="0" y="21478"/>
                <wp:lineTo x="21560" y="21478"/>
                <wp:lineTo x="21560" y="0"/>
                <wp:lineTo x="0" y="0"/>
              </wp:wrapPolygon>
            </wp:wrapTight>
            <wp:docPr id="171405506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extLst>
                        <a:ext uri="{28A0092B-C50C-407E-A947-70E740481C1C}">
                          <a14:useLocalDpi xmlns:a14="http://schemas.microsoft.com/office/drawing/2010/main" val="0"/>
                        </a:ext>
                      </a:extLst>
                    </a:blip>
                    <a:srcRect/>
                    <a:stretch>
                      <a:fillRect/>
                    </a:stretch>
                  </pic:blipFill>
                  <pic:spPr>
                    <a:xfrm>
                      <a:off x="0" y="0"/>
                      <a:ext cx="5878195" cy="1685925"/>
                    </a:xfrm>
                    <a:prstGeom prst="rect">
                      <a:avLst/>
                    </a:prstGeom>
                    <a:ln/>
                  </pic:spPr>
                </pic:pic>
              </a:graphicData>
            </a:graphic>
            <wp14:sizeRelH relativeFrom="margin">
              <wp14:pctWidth>0</wp14:pctWidth>
            </wp14:sizeRelH>
            <wp14:sizeRelV relativeFrom="margin">
              <wp14:pctHeight>0</wp14:pctHeight>
            </wp14:sizeRelV>
          </wp:anchor>
        </w:drawing>
      </w:r>
    </w:p>
    <w:p w14:paraId="2858AA6E" w14:textId="761B6897" w:rsidR="00767D71" w:rsidRPr="00E67317" w:rsidRDefault="00767D71" w:rsidP="00767D71">
      <w:pPr>
        <w:pStyle w:val="BodyText"/>
        <w:ind w:left="442"/>
        <w:rPr>
          <w:b/>
        </w:rPr>
      </w:pPr>
      <w:r>
        <w:rPr>
          <w:b/>
          <w:color w:val="0D0D0D"/>
        </w:rPr>
        <w:t xml:space="preserve">                           </w:t>
      </w:r>
      <w:r w:rsidRPr="00E67317">
        <w:rPr>
          <w:b/>
          <w:color w:val="0D0D0D"/>
        </w:rPr>
        <w:t>POLICY</w:t>
      </w:r>
      <w:r w:rsidRPr="00E67317">
        <w:rPr>
          <w:b/>
          <w:color w:val="0D0D0D"/>
          <w:spacing w:val="-2"/>
        </w:rPr>
        <w:t xml:space="preserve"> </w:t>
      </w:r>
      <w:r w:rsidRPr="00E67317">
        <w:rPr>
          <w:b/>
          <w:color w:val="0D0D0D"/>
        </w:rPr>
        <w:t>ON</w:t>
      </w:r>
      <w:r w:rsidRPr="00E67317">
        <w:rPr>
          <w:b/>
          <w:color w:val="0D0D0D"/>
          <w:spacing w:val="-1"/>
        </w:rPr>
        <w:t xml:space="preserve"> </w:t>
      </w:r>
      <w:proofErr w:type="gramStart"/>
      <w:r w:rsidRPr="00E67317">
        <w:rPr>
          <w:b/>
          <w:color w:val="0D0D0D"/>
        </w:rPr>
        <w:t xml:space="preserve">ALUMNI  </w:t>
      </w:r>
      <w:r w:rsidRPr="00E67317">
        <w:rPr>
          <w:b/>
          <w:color w:val="0D0D0D"/>
          <w:spacing w:val="-2"/>
        </w:rPr>
        <w:t>ENGAGEMENT</w:t>
      </w:r>
      <w:proofErr w:type="gramEnd"/>
    </w:p>
    <w:p w14:paraId="6C8EF94D" w14:textId="77777777" w:rsidR="00767D71" w:rsidRPr="00F00FD4" w:rsidRDefault="00767D71" w:rsidP="00767D71">
      <w:pPr>
        <w:pStyle w:val="BodyText"/>
        <w:spacing w:before="89"/>
        <w:rPr>
          <w:b/>
        </w:rPr>
      </w:pPr>
    </w:p>
    <w:p w14:paraId="43FEF9C8" w14:textId="1DAA5658" w:rsidR="00767D71" w:rsidRPr="00FA6E7C" w:rsidRDefault="00767D71" w:rsidP="00767D71">
      <w:pPr>
        <w:pStyle w:val="BodyText"/>
        <w:spacing w:before="7" w:line="360" w:lineRule="auto"/>
        <w:jc w:val="both"/>
        <w:rPr>
          <w:b/>
          <w:bCs/>
          <w:lang w:val="en-IN"/>
        </w:rPr>
      </w:pPr>
      <w:r w:rsidRPr="00F00FD4">
        <w:rPr>
          <w:lang w:val="en-IN"/>
        </w:rPr>
        <w:t>Government Degree College for Women</w:t>
      </w:r>
      <w:r>
        <w:rPr>
          <w:lang w:val="en-IN"/>
        </w:rPr>
        <w:t xml:space="preserve"> (</w:t>
      </w:r>
      <w:proofErr w:type="gramStart"/>
      <w:r>
        <w:rPr>
          <w:lang w:val="en-IN"/>
        </w:rPr>
        <w:t xml:space="preserve">A) </w:t>
      </w:r>
      <w:r w:rsidRPr="00F00FD4">
        <w:rPr>
          <w:lang w:val="en-IN"/>
        </w:rPr>
        <w:t xml:space="preserve"> Guntur</w:t>
      </w:r>
      <w:proofErr w:type="gramEnd"/>
      <w:r w:rsidRPr="00F00FD4">
        <w:rPr>
          <w:lang w:val="en-IN"/>
        </w:rPr>
        <w:t xml:space="preserve">  aims to maintain a strong and positive relationship with its alumni, recognizing that active alumni involvement is mutually beneficial. Alumni with an emotional bond to their alma mater are more likely to stay connected and contribute to the college. A thriving and engaged alumni community can significantly aid in the </w:t>
      </w:r>
      <w:r w:rsidRPr="00FA6E7C">
        <w:rPr>
          <w:lang w:val="en-IN"/>
        </w:rPr>
        <w:t>institution's development</w:t>
      </w:r>
      <w:r w:rsidRPr="00FA6E7C">
        <w:rPr>
          <w:b/>
          <w:bCs/>
          <w:lang w:val="en-IN"/>
        </w:rPr>
        <w:t>.</w:t>
      </w:r>
    </w:p>
    <w:p w14:paraId="27C13C68" w14:textId="77777777" w:rsidR="00767D71" w:rsidRPr="00F00FD4" w:rsidRDefault="00767D71" w:rsidP="00767D71">
      <w:pPr>
        <w:pStyle w:val="BodyText"/>
        <w:spacing w:before="7" w:line="360" w:lineRule="auto"/>
        <w:jc w:val="both"/>
        <w:rPr>
          <w:lang w:val="en-IN"/>
        </w:rPr>
      </w:pPr>
      <w:r w:rsidRPr="00FA6E7C">
        <w:rPr>
          <w:b/>
          <w:bCs/>
          <w:lang w:val="en-IN"/>
        </w:rPr>
        <w:t>Rationale</w:t>
      </w:r>
      <w:r w:rsidRPr="00F00FD4">
        <w:rPr>
          <w:lang w:val="en-IN"/>
        </w:rPr>
        <w:t>:</w:t>
      </w:r>
    </w:p>
    <w:p w14:paraId="3B3737F3" w14:textId="77777777" w:rsidR="00767D71" w:rsidRPr="00F00FD4" w:rsidRDefault="00767D71" w:rsidP="00767D71">
      <w:pPr>
        <w:pStyle w:val="BodyText"/>
        <w:spacing w:before="7" w:line="360" w:lineRule="auto"/>
        <w:jc w:val="both"/>
        <w:rPr>
          <w:lang w:val="en-IN"/>
        </w:rPr>
      </w:pPr>
      <w:r w:rsidRPr="00F00FD4">
        <w:rPr>
          <w:lang w:val="en-IN"/>
        </w:rPr>
        <w:t xml:space="preserve">A formal policy document on alumni participation is essential as it outlines the framework for all alumni-related activities. The college encourages alumni to engage in various roles, including academic support, student mentorship, and infrastructure development. These initiatives not only benefit the institution but also offer positive experiences for the alumni. An active alumni network is </w:t>
      </w:r>
      <w:proofErr w:type="gramStart"/>
      <w:r w:rsidRPr="00F00FD4">
        <w:rPr>
          <w:lang w:val="en-IN"/>
        </w:rPr>
        <w:t>a valuable asset</w:t>
      </w:r>
      <w:proofErr w:type="gramEnd"/>
      <w:r w:rsidRPr="00F00FD4">
        <w:rPr>
          <w:lang w:val="en-IN"/>
        </w:rPr>
        <w:t>, bridging different generations of students and strengthening the foundation for all academic, administrative, and quality enhancement activities.</w:t>
      </w:r>
    </w:p>
    <w:p w14:paraId="506A3AC5" w14:textId="77777777" w:rsidR="00767D71" w:rsidRPr="00F00FD4" w:rsidRDefault="00767D71" w:rsidP="00767D71">
      <w:pPr>
        <w:pStyle w:val="BodyText"/>
        <w:spacing w:before="7" w:line="360" w:lineRule="auto"/>
        <w:jc w:val="both"/>
        <w:rPr>
          <w:lang w:val="en-IN"/>
        </w:rPr>
      </w:pPr>
      <w:r w:rsidRPr="000D16E0">
        <w:rPr>
          <w:b/>
          <w:bCs/>
          <w:lang w:val="en-IN"/>
        </w:rPr>
        <w:t>Statement of Policy</w:t>
      </w:r>
      <w:r w:rsidRPr="00F00FD4">
        <w:rPr>
          <w:lang w:val="en-IN"/>
        </w:rPr>
        <w:t>:</w:t>
      </w:r>
    </w:p>
    <w:p w14:paraId="165D7B13" w14:textId="77777777" w:rsidR="00767D71" w:rsidRPr="00F00FD4" w:rsidRDefault="00767D71" w:rsidP="00767D71">
      <w:pPr>
        <w:pStyle w:val="BodyText"/>
        <w:spacing w:before="7" w:line="360" w:lineRule="auto"/>
        <w:jc w:val="both"/>
        <w:rPr>
          <w:lang w:val="en-IN"/>
        </w:rPr>
      </w:pPr>
      <w:r w:rsidRPr="00F00FD4">
        <w:rPr>
          <w:lang w:val="en-IN"/>
        </w:rPr>
        <w:t>The college aims to build and maintain a robust alumni network. Alumni will be encouraged to give back to their alma mater by mentoring current students, providing skill development training, and offering career guidance. They can also serve as brand ambassadors, helping to enhance the college's image through advocacy.</w:t>
      </w:r>
    </w:p>
    <w:p w14:paraId="1B4743C6" w14:textId="77777777" w:rsidR="00767D71" w:rsidRPr="00F00FD4" w:rsidRDefault="00767D71" w:rsidP="00767D71">
      <w:pPr>
        <w:pStyle w:val="BodyText"/>
        <w:spacing w:before="7" w:line="360" w:lineRule="auto"/>
        <w:jc w:val="both"/>
        <w:rPr>
          <w:lang w:val="en-IN"/>
        </w:rPr>
      </w:pPr>
      <w:r w:rsidRPr="00F00FD4">
        <w:rPr>
          <w:lang w:val="en-IN"/>
        </w:rPr>
        <w:t>AIMS and Objectives:</w:t>
      </w:r>
    </w:p>
    <w:p w14:paraId="17FFBB6E" w14:textId="77777777" w:rsidR="00767D71" w:rsidRPr="00F00FD4" w:rsidRDefault="00767D71" w:rsidP="00767D71">
      <w:pPr>
        <w:pStyle w:val="BodyText"/>
        <w:spacing w:before="7" w:line="360" w:lineRule="auto"/>
        <w:jc w:val="both"/>
        <w:rPr>
          <w:lang w:val="en-IN"/>
        </w:rPr>
      </w:pPr>
      <w:r w:rsidRPr="00F00FD4">
        <w:rPr>
          <w:lang w:val="en-IN"/>
        </w:rPr>
        <w:t xml:space="preserve">            To foster strong and lasting alumni engagement.</w:t>
      </w:r>
    </w:p>
    <w:p w14:paraId="48C61CCA" w14:textId="77777777" w:rsidR="00767D71" w:rsidRPr="00F00FD4" w:rsidRDefault="00767D71" w:rsidP="00767D71">
      <w:pPr>
        <w:pStyle w:val="BodyText"/>
        <w:numPr>
          <w:ilvl w:val="0"/>
          <w:numId w:val="1"/>
        </w:numPr>
        <w:spacing w:before="7" w:line="360" w:lineRule="auto"/>
        <w:jc w:val="both"/>
        <w:rPr>
          <w:lang w:val="en-IN"/>
        </w:rPr>
      </w:pPr>
      <w:r w:rsidRPr="00F00FD4">
        <w:rPr>
          <w:lang w:val="en-IN"/>
        </w:rPr>
        <w:t>To motivate alumni to contribute their services for the institution's benefit, whether financially or otherwise.</w:t>
      </w:r>
    </w:p>
    <w:p w14:paraId="734B4334" w14:textId="77777777" w:rsidR="00767D71" w:rsidRPr="00F00FD4" w:rsidRDefault="00767D71" w:rsidP="00767D71">
      <w:pPr>
        <w:pStyle w:val="BodyText"/>
        <w:numPr>
          <w:ilvl w:val="0"/>
          <w:numId w:val="1"/>
        </w:numPr>
        <w:spacing w:before="7" w:line="360" w:lineRule="auto"/>
        <w:jc w:val="both"/>
        <w:rPr>
          <w:lang w:val="en-IN"/>
        </w:rPr>
      </w:pPr>
      <w:r w:rsidRPr="00F00FD4">
        <w:rPr>
          <w:lang w:val="en-IN"/>
        </w:rPr>
        <w:t>To install a sense of pride and loyalty among alumni, encouraging them to give back to the college.</w:t>
      </w:r>
    </w:p>
    <w:p w14:paraId="295E0938" w14:textId="77777777" w:rsidR="00767D71" w:rsidRPr="00F00FD4" w:rsidRDefault="00767D71" w:rsidP="00767D71">
      <w:pPr>
        <w:pStyle w:val="BodyText"/>
        <w:numPr>
          <w:ilvl w:val="0"/>
          <w:numId w:val="1"/>
        </w:numPr>
        <w:spacing w:before="7" w:line="360" w:lineRule="auto"/>
        <w:jc w:val="both"/>
        <w:rPr>
          <w:lang w:val="en-IN"/>
        </w:rPr>
      </w:pPr>
      <w:r w:rsidRPr="00F00FD4">
        <w:rPr>
          <w:lang w:val="en-IN"/>
        </w:rPr>
        <w:t>To ensure current students feel valued, fostering enduring relationships that continue post-graduation.</w:t>
      </w:r>
    </w:p>
    <w:p w14:paraId="17946F68" w14:textId="77777777" w:rsidR="00767D71" w:rsidRPr="00F00FD4" w:rsidRDefault="00767D71" w:rsidP="00767D71">
      <w:pPr>
        <w:pStyle w:val="BodyText"/>
        <w:numPr>
          <w:ilvl w:val="0"/>
          <w:numId w:val="1"/>
        </w:numPr>
        <w:spacing w:before="7" w:line="360" w:lineRule="auto"/>
        <w:jc w:val="both"/>
        <w:rPr>
          <w:lang w:val="en-IN"/>
        </w:rPr>
      </w:pPr>
      <w:r w:rsidRPr="00F00FD4">
        <w:rPr>
          <w:lang w:val="en-IN"/>
        </w:rPr>
        <w:lastRenderedPageBreak/>
        <w:t>To gather feedback from alumni on the curriculum and facilities, using it for continuous improvement.</w:t>
      </w:r>
    </w:p>
    <w:p w14:paraId="348295E4" w14:textId="77777777" w:rsidR="00767D71" w:rsidRPr="00F00FD4" w:rsidRDefault="00767D71" w:rsidP="00767D71">
      <w:pPr>
        <w:pStyle w:val="BodyText"/>
        <w:numPr>
          <w:ilvl w:val="0"/>
          <w:numId w:val="1"/>
        </w:numPr>
        <w:spacing w:before="7" w:line="360" w:lineRule="auto"/>
        <w:jc w:val="both"/>
        <w:rPr>
          <w:lang w:val="en-IN"/>
        </w:rPr>
      </w:pPr>
      <w:r w:rsidRPr="00F00FD4">
        <w:rPr>
          <w:lang w:val="en-IN"/>
        </w:rPr>
        <w:t>To formally register the Alumni Association.</w:t>
      </w:r>
    </w:p>
    <w:p w14:paraId="10BD0CA5" w14:textId="77777777" w:rsidR="00767D71" w:rsidRPr="000D16E0" w:rsidRDefault="00767D71" w:rsidP="00767D71">
      <w:pPr>
        <w:pStyle w:val="BodyText"/>
        <w:spacing w:before="7" w:line="360" w:lineRule="auto"/>
        <w:jc w:val="both"/>
        <w:rPr>
          <w:b/>
          <w:bCs/>
          <w:lang w:val="en-IN"/>
        </w:rPr>
      </w:pPr>
      <w:r w:rsidRPr="000D16E0">
        <w:rPr>
          <w:b/>
          <w:bCs/>
          <w:lang w:val="en-IN"/>
        </w:rPr>
        <w:t>Implementation:</w:t>
      </w:r>
    </w:p>
    <w:p w14:paraId="3F9ACDFD" w14:textId="77777777" w:rsidR="00767D71" w:rsidRPr="00F00FD4" w:rsidRDefault="00767D71" w:rsidP="00767D71">
      <w:pPr>
        <w:pStyle w:val="BodyText"/>
        <w:spacing w:before="7" w:line="360" w:lineRule="auto"/>
        <w:jc w:val="both"/>
        <w:rPr>
          <w:lang w:val="en-IN"/>
        </w:rPr>
      </w:pPr>
      <w:r w:rsidRPr="00F00FD4">
        <w:rPr>
          <w:lang w:val="en-IN"/>
        </w:rPr>
        <w:t>Contribution in Academic Matters: Alumni have shown great enthusiasm in contributing to the college's academic activities. Some have delivered lectures on key topics for current students. The college also collects feedback from alumni on the curriculum and overall performance, using their suggestions for quality enhancement.</w:t>
      </w:r>
    </w:p>
    <w:p w14:paraId="30DD37A8" w14:textId="77777777" w:rsidR="00767D71" w:rsidRPr="00F00FD4" w:rsidRDefault="00767D71" w:rsidP="00767D71">
      <w:pPr>
        <w:pStyle w:val="BodyText"/>
        <w:spacing w:before="7" w:line="360" w:lineRule="auto"/>
        <w:jc w:val="both"/>
        <w:rPr>
          <w:lang w:val="en-IN"/>
        </w:rPr>
      </w:pPr>
      <w:r w:rsidRPr="00F00FD4">
        <w:rPr>
          <w:lang w:val="en-IN"/>
        </w:rPr>
        <w:t>Membership: Successful alumni are invited to share their experiences and challenges, serving as role models and sources of inspiration for current students.</w:t>
      </w:r>
    </w:p>
    <w:p w14:paraId="31ACEC38" w14:textId="77777777" w:rsidR="00767D71" w:rsidRPr="00F00FD4" w:rsidRDefault="00767D71" w:rsidP="00767D71">
      <w:pPr>
        <w:pStyle w:val="BodyText"/>
        <w:spacing w:before="7" w:line="360" w:lineRule="auto"/>
        <w:jc w:val="both"/>
        <w:rPr>
          <w:lang w:val="en-IN"/>
        </w:rPr>
      </w:pPr>
      <w:r w:rsidRPr="00F00FD4">
        <w:rPr>
          <w:lang w:val="en-IN"/>
        </w:rPr>
        <w:t>Skill Development: Some alumni actively provide skill-based training to current students, fostering bonds and sharing valuable knowledge.</w:t>
      </w:r>
    </w:p>
    <w:p w14:paraId="51EEDF0F" w14:textId="77777777" w:rsidR="00767D71" w:rsidRPr="00F00FD4" w:rsidRDefault="00767D71" w:rsidP="00767D71">
      <w:pPr>
        <w:pStyle w:val="BodyText"/>
        <w:spacing w:before="7" w:line="360" w:lineRule="auto"/>
        <w:jc w:val="both"/>
        <w:rPr>
          <w:lang w:val="en-IN"/>
        </w:rPr>
      </w:pPr>
      <w:r w:rsidRPr="00F00FD4">
        <w:rPr>
          <w:lang w:val="en-IN"/>
        </w:rPr>
        <w:t>Mobilization of Resources: While alumni have not made significant financial contributions, they are proactive in resource mobilization activities. They often accompany staff when approaching public representatives and philanthropists for support.</w:t>
      </w:r>
    </w:p>
    <w:p w14:paraId="53F01D90" w14:textId="77777777" w:rsidR="00767D71" w:rsidRPr="00F00FD4" w:rsidRDefault="00767D71" w:rsidP="00767D71">
      <w:pPr>
        <w:pStyle w:val="BodyText"/>
        <w:spacing w:before="7" w:line="360" w:lineRule="auto"/>
        <w:jc w:val="both"/>
        <w:rPr>
          <w:lang w:val="en-IN"/>
        </w:rPr>
      </w:pPr>
      <w:r w:rsidRPr="00F00FD4">
        <w:rPr>
          <w:lang w:val="en-IN"/>
        </w:rPr>
        <w:t>Community Awareness: A few alumni have taken on the task of raising community awareness about the college's activities and achievements.</w:t>
      </w:r>
    </w:p>
    <w:p w14:paraId="3DAAF25B" w14:textId="77777777" w:rsidR="00767D71" w:rsidRPr="00F00FD4" w:rsidRDefault="00767D71" w:rsidP="00767D71">
      <w:pPr>
        <w:pStyle w:val="BodyText"/>
        <w:spacing w:before="7" w:line="360" w:lineRule="auto"/>
        <w:jc w:val="both"/>
      </w:pPr>
    </w:p>
    <w:tbl>
      <w:tblPr>
        <w:tblW w:w="0" w:type="auto"/>
        <w:tblInd w:w="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05"/>
        <w:gridCol w:w="4045"/>
      </w:tblGrid>
      <w:tr w:rsidR="00767D71" w:rsidRPr="00F00FD4" w14:paraId="51AB7A62" w14:textId="77777777" w:rsidTr="00BE65D1">
        <w:trPr>
          <w:trHeight w:val="436"/>
        </w:trPr>
        <w:tc>
          <w:tcPr>
            <w:tcW w:w="4705" w:type="dxa"/>
            <w:tcBorders>
              <w:bottom w:val="single" w:sz="4" w:space="0" w:color="000000"/>
            </w:tcBorders>
          </w:tcPr>
          <w:p w14:paraId="62206D1D" w14:textId="77777777" w:rsidR="00767D71" w:rsidRPr="00F00FD4" w:rsidRDefault="00767D71" w:rsidP="00BE65D1">
            <w:pPr>
              <w:pStyle w:val="TableParagraph"/>
              <w:spacing w:before="113" w:line="360" w:lineRule="auto"/>
              <w:jc w:val="both"/>
              <w:rPr>
                <w:b/>
                <w:sz w:val="24"/>
                <w:szCs w:val="24"/>
              </w:rPr>
            </w:pPr>
            <w:r w:rsidRPr="00F00FD4">
              <w:rPr>
                <w:b/>
                <w:color w:val="343434"/>
                <w:spacing w:val="-2"/>
                <w:w w:val="105"/>
                <w:sz w:val="24"/>
                <w:szCs w:val="24"/>
              </w:rPr>
              <w:t>Policy</w:t>
            </w:r>
            <w:r w:rsidRPr="00F00FD4">
              <w:rPr>
                <w:b/>
                <w:color w:val="343434"/>
                <w:spacing w:val="-10"/>
                <w:w w:val="105"/>
                <w:sz w:val="24"/>
                <w:szCs w:val="24"/>
              </w:rPr>
              <w:t xml:space="preserve"> </w:t>
            </w:r>
            <w:r w:rsidRPr="00F00FD4">
              <w:rPr>
                <w:b/>
                <w:color w:val="343434"/>
                <w:spacing w:val="-2"/>
                <w:w w:val="105"/>
                <w:sz w:val="24"/>
                <w:szCs w:val="24"/>
              </w:rPr>
              <w:t>Title</w:t>
            </w:r>
          </w:p>
        </w:tc>
        <w:tc>
          <w:tcPr>
            <w:tcW w:w="4045" w:type="dxa"/>
            <w:tcBorders>
              <w:bottom w:val="single" w:sz="4" w:space="0" w:color="000000"/>
            </w:tcBorders>
          </w:tcPr>
          <w:p w14:paraId="1106EC7F" w14:textId="77777777" w:rsidR="00767D71" w:rsidRPr="00F00FD4" w:rsidRDefault="00767D71" w:rsidP="00BE65D1">
            <w:pPr>
              <w:pStyle w:val="TableParagraph"/>
              <w:spacing w:line="360" w:lineRule="auto"/>
              <w:ind w:left="520"/>
              <w:jc w:val="both"/>
              <w:rPr>
                <w:b/>
                <w:sz w:val="24"/>
                <w:szCs w:val="24"/>
              </w:rPr>
            </w:pPr>
            <w:r w:rsidRPr="00F00FD4">
              <w:rPr>
                <w:b/>
                <w:color w:val="343434"/>
                <w:spacing w:val="-2"/>
                <w:sz w:val="24"/>
                <w:szCs w:val="24"/>
              </w:rPr>
              <w:t>Alumni</w:t>
            </w:r>
            <w:r w:rsidRPr="00F00FD4">
              <w:rPr>
                <w:b/>
                <w:color w:val="343434"/>
                <w:sz w:val="24"/>
                <w:szCs w:val="24"/>
              </w:rPr>
              <w:t xml:space="preserve"> </w:t>
            </w:r>
            <w:r w:rsidRPr="00F00FD4">
              <w:rPr>
                <w:b/>
                <w:color w:val="343434"/>
                <w:spacing w:val="-2"/>
                <w:sz w:val="24"/>
                <w:szCs w:val="24"/>
              </w:rPr>
              <w:t>Engagement</w:t>
            </w:r>
            <w:r w:rsidRPr="00F00FD4">
              <w:rPr>
                <w:b/>
                <w:color w:val="343434"/>
                <w:spacing w:val="-1"/>
                <w:sz w:val="24"/>
                <w:szCs w:val="24"/>
              </w:rPr>
              <w:t xml:space="preserve"> </w:t>
            </w:r>
            <w:r w:rsidRPr="00F00FD4">
              <w:rPr>
                <w:b/>
                <w:color w:val="343434"/>
                <w:spacing w:val="-2"/>
                <w:sz w:val="24"/>
                <w:szCs w:val="24"/>
              </w:rPr>
              <w:t>Policy</w:t>
            </w:r>
          </w:p>
        </w:tc>
      </w:tr>
      <w:tr w:rsidR="00767D71" w:rsidRPr="00F00FD4" w14:paraId="5067D12B" w14:textId="77777777" w:rsidTr="00BE65D1">
        <w:trPr>
          <w:trHeight w:val="676"/>
        </w:trPr>
        <w:tc>
          <w:tcPr>
            <w:tcW w:w="4705" w:type="dxa"/>
            <w:tcBorders>
              <w:top w:val="single" w:sz="4" w:space="0" w:color="000000"/>
            </w:tcBorders>
          </w:tcPr>
          <w:p w14:paraId="3A82EEEC" w14:textId="77777777" w:rsidR="00767D71" w:rsidRPr="00F00FD4" w:rsidRDefault="00767D71" w:rsidP="00BE65D1">
            <w:pPr>
              <w:pStyle w:val="TableParagraph"/>
              <w:spacing w:before="96" w:line="360" w:lineRule="auto"/>
              <w:jc w:val="both"/>
              <w:rPr>
                <w:sz w:val="24"/>
                <w:szCs w:val="24"/>
              </w:rPr>
            </w:pPr>
            <w:r w:rsidRPr="00F00FD4">
              <w:rPr>
                <w:color w:val="343434"/>
                <w:sz w:val="24"/>
                <w:szCs w:val="24"/>
              </w:rPr>
              <w:t>Ratified</w:t>
            </w:r>
            <w:r w:rsidRPr="00F00FD4">
              <w:rPr>
                <w:color w:val="343434"/>
                <w:spacing w:val="-9"/>
                <w:sz w:val="24"/>
                <w:szCs w:val="24"/>
              </w:rPr>
              <w:t xml:space="preserve"> </w:t>
            </w:r>
            <w:r w:rsidRPr="00F00FD4">
              <w:rPr>
                <w:color w:val="343434"/>
                <w:sz w:val="24"/>
                <w:szCs w:val="24"/>
              </w:rPr>
              <w:t>by</w:t>
            </w:r>
            <w:r w:rsidRPr="00F00FD4">
              <w:rPr>
                <w:color w:val="343434"/>
                <w:spacing w:val="-12"/>
                <w:sz w:val="24"/>
                <w:szCs w:val="24"/>
              </w:rPr>
              <w:t xml:space="preserve"> </w:t>
            </w:r>
            <w:r w:rsidRPr="00F00FD4">
              <w:rPr>
                <w:color w:val="343434"/>
                <w:sz w:val="24"/>
                <w:szCs w:val="24"/>
              </w:rPr>
              <w:t>College</w:t>
            </w:r>
            <w:r w:rsidRPr="00F00FD4">
              <w:rPr>
                <w:color w:val="343434"/>
                <w:spacing w:val="-9"/>
                <w:sz w:val="24"/>
                <w:szCs w:val="24"/>
              </w:rPr>
              <w:t xml:space="preserve"> </w:t>
            </w:r>
            <w:r w:rsidRPr="00F00FD4">
              <w:rPr>
                <w:color w:val="343434"/>
                <w:sz w:val="24"/>
                <w:szCs w:val="24"/>
              </w:rPr>
              <w:t>Planning</w:t>
            </w:r>
            <w:r w:rsidRPr="00F00FD4">
              <w:rPr>
                <w:color w:val="343434"/>
                <w:spacing w:val="-8"/>
                <w:sz w:val="24"/>
                <w:szCs w:val="24"/>
              </w:rPr>
              <w:t xml:space="preserve"> </w:t>
            </w:r>
            <w:r w:rsidRPr="00F00FD4">
              <w:rPr>
                <w:color w:val="343434"/>
                <w:sz w:val="24"/>
                <w:szCs w:val="24"/>
              </w:rPr>
              <w:t xml:space="preserve">and </w:t>
            </w:r>
            <w:r w:rsidRPr="00F00FD4">
              <w:rPr>
                <w:color w:val="343434"/>
                <w:spacing w:val="-2"/>
                <w:sz w:val="24"/>
                <w:szCs w:val="24"/>
              </w:rPr>
              <w:t>Development Council</w:t>
            </w:r>
          </w:p>
        </w:tc>
        <w:tc>
          <w:tcPr>
            <w:tcW w:w="4045" w:type="dxa"/>
            <w:tcBorders>
              <w:top w:val="single" w:sz="4" w:space="0" w:color="000000"/>
            </w:tcBorders>
          </w:tcPr>
          <w:p w14:paraId="4C14AE19" w14:textId="77777777" w:rsidR="00767D71" w:rsidRPr="00F00FD4" w:rsidRDefault="00767D71" w:rsidP="00BE65D1">
            <w:pPr>
              <w:pStyle w:val="TableParagraph"/>
              <w:spacing w:line="360" w:lineRule="auto"/>
              <w:ind w:left="1017"/>
              <w:jc w:val="both"/>
              <w:rPr>
                <w:sz w:val="24"/>
                <w:szCs w:val="24"/>
              </w:rPr>
            </w:pPr>
            <w:r w:rsidRPr="00F00FD4">
              <w:rPr>
                <w:color w:val="343434"/>
                <w:sz w:val="24"/>
                <w:szCs w:val="24"/>
              </w:rPr>
              <w:t>February</w:t>
            </w:r>
            <w:r w:rsidRPr="00F00FD4">
              <w:rPr>
                <w:color w:val="343434"/>
                <w:spacing w:val="5"/>
                <w:sz w:val="24"/>
                <w:szCs w:val="24"/>
              </w:rPr>
              <w:t xml:space="preserve"> </w:t>
            </w:r>
            <w:r w:rsidRPr="00F00FD4">
              <w:rPr>
                <w:color w:val="343434"/>
                <w:spacing w:val="-4"/>
                <w:sz w:val="24"/>
                <w:szCs w:val="24"/>
              </w:rPr>
              <w:t>2019</w:t>
            </w:r>
          </w:p>
        </w:tc>
      </w:tr>
      <w:tr w:rsidR="00767D71" w:rsidRPr="00F00FD4" w14:paraId="01520C4C" w14:textId="77777777" w:rsidTr="00BE65D1">
        <w:trPr>
          <w:trHeight w:val="585"/>
        </w:trPr>
        <w:tc>
          <w:tcPr>
            <w:tcW w:w="4705" w:type="dxa"/>
          </w:tcPr>
          <w:p w14:paraId="39D04187" w14:textId="77777777" w:rsidR="00767D71" w:rsidRPr="00F00FD4" w:rsidRDefault="00767D71" w:rsidP="00BE65D1">
            <w:pPr>
              <w:pStyle w:val="TableParagraph"/>
              <w:spacing w:before="109" w:line="360" w:lineRule="auto"/>
              <w:jc w:val="both"/>
              <w:rPr>
                <w:sz w:val="24"/>
                <w:szCs w:val="24"/>
              </w:rPr>
            </w:pPr>
            <w:r w:rsidRPr="00F00FD4">
              <w:rPr>
                <w:color w:val="343434"/>
                <w:w w:val="105"/>
                <w:sz w:val="24"/>
                <w:szCs w:val="24"/>
              </w:rPr>
              <w:t>Policy</w:t>
            </w:r>
            <w:r w:rsidRPr="00F00FD4">
              <w:rPr>
                <w:color w:val="343434"/>
                <w:spacing w:val="-12"/>
                <w:w w:val="105"/>
                <w:sz w:val="24"/>
                <w:szCs w:val="24"/>
              </w:rPr>
              <w:t xml:space="preserve"> </w:t>
            </w:r>
            <w:r w:rsidRPr="00F00FD4">
              <w:rPr>
                <w:color w:val="343434"/>
                <w:w w:val="105"/>
                <w:sz w:val="24"/>
                <w:szCs w:val="24"/>
              </w:rPr>
              <w:t>for</w:t>
            </w:r>
            <w:r w:rsidRPr="00F00FD4">
              <w:rPr>
                <w:color w:val="343434"/>
                <w:spacing w:val="-7"/>
                <w:w w:val="105"/>
                <w:sz w:val="24"/>
                <w:szCs w:val="24"/>
              </w:rPr>
              <w:t xml:space="preserve"> </w:t>
            </w:r>
            <w:r w:rsidRPr="00F00FD4">
              <w:rPr>
                <w:color w:val="343434"/>
                <w:spacing w:val="-2"/>
                <w:w w:val="105"/>
                <w:sz w:val="24"/>
                <w:szCs w:val="24"/>
              </w:rPr>
              <w:t>review</w:t>
            </w:r>
          </w:p>
        </w:tc>
        <w:tc>
          <w:tcPr>
            <w:tcW w:w="4045" w:type="dxa"/>
            <w:tcBorders>
              <w:right w:val="single" w:sz="4" w:space="0" w:color="000000"/>
            </w:tcBorders>
          </w:tcPr>
          <w:p w14:paraId="056EA8E5" w14:textId="77777777" w:rsidR="00767D71" w:rsidRPr="00F00FD4" w:rsidRDefault="00767D71" w:rsidP="00BE65D1">
            <w:pPr>
              <w:pStyle w:val="TableParagraph"/>
              <w:spacing w:before="95" w:line="360" w:lineRule="auto"/>
              <w:ind w:left="1012"/>
              <w:jc w:val="both"/>
              <w:rPr>
                <w:sz w:val="24"/>
                <w:szCs w:val="24"/>
              </w:rPr>
            </w:pPr>
            <w:r w:rsidRPr="00F00FD4">
              <w:rPr>
                <w:color w:val="343434"/>
                <w:sz w:val="24"/>
                <w:szCs w:val="24"/>
              </w:rPr>
              <w:t>February</w:t>
            </w:r>
            <w:r w:rsidRPr="00F00FD4">
              <w:rPr>
                <w:color w:val="343434"/>
                <w:spacing w:val="63"/>
                <w:sz w:val="24"/>
                <w:szCs w:val="24"/>
              </w:rPr>
              <w:t xml:space="preserve"> </w:t>
            </w:r>
            <w:r w:rsidRPr="00F00FD4">
              <w:rPr>
                <w:color w:val="343434"/>
                <w:spacing w:val="-4"/>
                <w:sz w:val="24"/>
                <w:szCs w:val="24"/>
              </w:rPr>
              <w:t>2023</w:t>
            </w:r>
          </w:p>
        </w:tc>
      </w:tr>
    </w:tbl>
    <w:p w14:paraId="43AE6E71" w14:textId="77777777" w:rsidR="00767D71" w:rsidRPr="00F00FD4" w:rsidRDefault="00767D71" w:rsidP="00767D71">
      <w:pPr>
        <w:pStyle w:val="BodyText"/>
        <w:spacing w:before="128" w:line="360" w:lineRule="auto"/>
        <w:jc w:val="both"/>
      </w:pPr>
    </w:p>
    <w:p w14:paraId="15CFACB0" w14:textId="77777777" w:rsidR="00767D71" w:rsidRPr="00F00FD4" w:rsidRDefault="00767D71" w:rsidP="00767D71">
      <w:pPr>
        <w:pStyle w:val="BodyText"/>
        <w:spacing w:before="128" w:line="360" w:lineRule="auto"/>
        <w:jc w:val="both"/>
      </w:pPr>
      <w:r w:rsidRPr="00F00FD4">
        <w:t xml:space="preserve">                                                                                                             </w:t>
      </w:r>
    </w:p>
    <w:p w14:paraId="5B208D64" w14:textId="77777777" w:rsidR="00767D71" w:rsidRDefault="00767D71" w:rsidP="00767D71">
      <w:r>
        <w:t xml:space="preserve">                                                                                                                                   PRINCIPAL</w:t>
      </w:r>
    </w:p>
    <w:p w14:paraId="00894960" w14:textId="77777777" w:rsidR="00CF5A76" w:rsidRDefault="00CF5A76"/>
    <w:sectPr w:rsidR="00CF5A76" w:rsidSect="00767D71">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B5102"/>
    <w:multiLevelType w:val="multilevel"/>
    <w:tmpl w:val="EC40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393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757"/>
    <w:rsid w:val="00767D71"/>
    <w:rsid w:val="00A52512"/>
    <w:rsid w:val="00C10559"/>
    <w:rsid w:val="00CF5A76"/>
    <w:rsid w:val="00D037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735A"/>
  <w15:chartTrackingRefBased/>
  <w15:docId w15:val="{4AFEB7D9-B44C-4887-8303-37B85422C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67D7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767D71"/>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767D71"/>
    <w:pPr>
      <w:widowControl w:val="0"/>
      <w:autoSpaceDE w:val="0"/>
      <w:autoSpaceDN w:val="0"/>
      <w:spacing w:before="94" w:after="0" w:line="240" w:lineRule="auto"/>
      <w:ind w:left="250"/>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2832</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Devarapalli</dc:creator>
  <cp:keywords/>
  <dc:description/>
  <cp:lastModifiedBy>Uma Devarapalli</cp:lastModifiedBy>
  <cp:revision>2</cp:revision>
  <dcterms:created xsi:type="dcterms:W3CDTF">2024-06-24T17:30:00Z</dcterms:created>
  <dcterms:modified xsi:type="dcterms:W3CDTF">2024-06-24T17:31:00Z</dcterms:modified>
</cp:coreProperties>
</file>